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F70B51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33CC6D5D" w14:textId="2A8AFD95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 w:rsidR="00336D02" w:rsidRPr="00F70B51">
              <w:rPr>
                <w:rFonts w:eastAsia="標楷體" w:hint="eastAsia"/>
                <w:b/>
                <w:spacing w:val="-16"/>
              </w:rPr>
              <w:t>2</w:t>
            </w:r>
          </w:p>
          <w:p w14:paraId="5C909B96" w14:textId="448C585C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6DE3CE4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1F76F3" w:rsidRPr="00F70B51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F70B51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F70B51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</w:t>
            </w:r>
            <w:r w:rsidR="00D933D4" w:rsidRPr="00D933D4">
              <w:rPr>
                <w:rFonts w:eastAsia="標楷體"/>
                <w:sz w:val="20"/>
              </w:rPr>
              <w:t>(</w:t>
            </w:r>
            <w:proofErr w:type="gramEnd"/>
            <w:r w:rsidR="00D933D4" w:rsidRPr="00D933D4">
              <w:rPr>
                <w:rFonts w:eastAsia="標楷體"/>
                <w:sz w:val="20"/>
              </w:rPr>
              <w:t xml:space="preserve">Field </w:t>
            </w:r>
            <w:r w:rsidR="00D933D4">
              <w:rPr>
                <w:rFonts w:eastAsia="標楷體" w:hint="eastAsia"/>
                <w:sz w:val="20"/>
              </w:rPr>
              <w:t>P</w:t>
            </w:r>
            <w:r w:rsidR="00D933D4"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6F6786" w:rsidRPr="00D933D4" w:rsidRDefault="006F6786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1F76F3" w:rsidRPr="00F70B51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3E74E60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39648B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B842E0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19022CB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DCD65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90F6ECD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不列入畢業學分</w:t>
            </w:r>
          </w:p>
          <w:p w14:paraId="697724C9" w14:textId="0528224F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It does not count towards graduation credits</w:t>
            </w: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34D44B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2F164834" w14:textId="1075233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04DCBC8D" w14:textId="5CCA4591" w:rsidR="001F76F3" w:rsidRPr="0076762C" w:rsidRDefault="0076762C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209D908" w:rsidR="001F76F3" w:rsidRPr="0076762C" w:rsidRDefault="0076762C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3AA958F" w14:textId="77777777" w:rsidR="001F76F3" w:rsidRDefault="0076762C" w:rsidP="00D933D4">
            <w:pPr>
              <w:spacing w:line="300" w:lineRule="exact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不列入畢業學分</w:t>
            </w:r>
          </w:p>
          <w:p w14:paraId="4ADDFED9" w14:textId="4154AA0B" w:rsidR="00D933D4" w:rsidRPr="00D933D4" w:rsidRDefault="00D933D4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  <w:r w:rsidRPr="00D933D4">
              <w:rPr>
                <w:rFonts w:eastAsia="標楷體"/>
                <w:color w:val="EE0000"/>
                <w:sz w:val="20"/>
              </w:rPr>
              <w:t>It does not count towards graduation credits</w:t>
            </w: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37FBDF51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3B029330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2F2EED93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1FD60E81" w14:textId="77777777" w:rsidR="006C326B" w:rsidRDefault="006C326B" w:rsidP="006C326B">
            <w:pPr>
              <w:spacing w:line="300" w:lineRule="exact"/>
              <w:rPr>
                <w:rFonts w:ascii="標楷體" w:eastAsia="標楷體" w:hAnsi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  <w:p w14:paraId="13D6D6BD" w14:textId="71F7265B" w:rsidR="00243C60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Digital technology and AI applications</w:t>
            </w:r>
          </w:p>
        </w:tc>
        <w:tc>
          <w:tcPr>
            <w:tcW w:w="416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C3F6887" w14:textId="77777777" w:rsidR="006C326B" w:rsidRDefault="006C326B" w:rsidP="006C326B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</w:t>
            </w:r>
          </w:p>
          <w:p w14:paraId="0A6D1938" w14:textId="0799F443" w:rsidR="001F76F3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  <w:tr w:rsidR="006C326B" w:rsidRPr="00F70B51" w14:paraId="35DDA143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70FA4640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4D91405B" w14:textId="4C65F62B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585ECA29" w14:textId="7EA19F4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477E5E56" w14:textId="1967F721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5F5E21B" w14:textId="4480778B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4F00FF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A1F8C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D2006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B65360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D735A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32834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FE3812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會計學</w:t>
            </w:r>
          </w:p>
          <w:p w14:paraId="757FC468" w14:textId="3306F61C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6C326B" w:rsidRPr="00F70B51" w:rsidRDefault="006C326B" w:rsidP="006C326B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6C326B" w:rsidRPr="00F70B51" w:rsidRDefault="006C326B" w:rsidP="006C326B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30EBDD63" w14:textId="53FD678A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固定收益證券</w:t>
            </w:r>
          </w:p>
          <w:p w14:paraId="1A3AF9FD" w14:textId="623B2B91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INTRODUCTION TO FINANCIAL 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AI與</w:t>
            </w: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083166B7" w:rsidR="00821E04" w:rsidRPr="00B706A6" w:rsidRDefault="00B706A6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AI AND FINANCIAL TECHNOLOGY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  <w:tr w:rsidR="002242FD" w:rsidRPr="005B2E28" w14:paraId="5071DE3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FE6D742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徵信分析與實務</w:t>
            </w:r>
          </w:p>
        </w:tc>
        <w:tc>
          <w:tcPr>
            <w:tcW w:w="440" w:type="dxa"/>
            <w:vAlign w:val="center"/>
          </w:tcPr>
          <w:p w14:paraId="25DCC6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1B93B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A1F28A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8674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3022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7A065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F5EBE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60CC0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49C16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1B8D3E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49408F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0E28DB4D" w14:textId="77777777" w:rsidR="002242FD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</w:tbl>
    <w:p w14:paraId="15AE1712" w14:textId="77777777" w:rsidR="00685BDF" w:rsidRDefault="00685BDF" w:rsidP="00685BDF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p w14:paraId="703AB3B0" w14:textId="77777777" w:rsidR="00685BDF" w:rsidRDefault="00685BDF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65BA6CC4" w14:textId="52B7CCDA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lastRenderedPageBreak/>
        <w:t>必修科目總學分數：</w:t>
      </w:r>
      <w:r w:rsidR="00336D02" w:rsidRPr="002971FC">
        <w:rPr>
          <w:rFonts w:eastAsia="標楷體" w:hint="eastAsia"/>
          <w:color w:val="EE0000"/>
          <w:sz w:val="24"/>
        </w:rPr>
        <w:t>8</w:t>
      </w:r>
      <w:r w:rsidR="002971FC" w:rsidRPr="002971FC">
        <w:rPr>
          <w:rFonts w:eastAsia="標楷體" w:hint="eastAsia"/>
          <w:color w:val="EE0000"/>
          <w:sz w:val="24"/>
        </w:rPr>
        <w:t>6</w:t>
      </w:r>
      <w:r w:rsidR="00266B14" w:rsidRPr="00F70B51">
        <w:rPr>
          <w:rFonts w:eastAsia="標楷體" w:hint="eastAsia"/>
          <w:sz w:val="24"/>
        </w:rPr>
        <w:t xml:space="preserve"> </w:t>
      </w:r>
      <w:r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(</w:t>
      </w:r>
      <w:proofErr w:type="gramStart"/>
      <w:r w:rsidR="00667FE0" w:rsidRPr="00F70B51">
        <w:rPr>
          <w:rFonts w:eastAsia="標楷體"/>
          <w:sz w:val="24"/>
        </w:rPr>
        <w:t>含</w:t>
      </w:r>
      <w:r w:rsidR="00A8605C" w:rsidRPr="00F70B51">
        <w:rPr>
          <w:rFonts w:eastAsia="標楷體"/>
          <w:sz w:val="24"/>
        </w:rPr>
        <w:t>通識</w:t>
      </w:r>
      <w:proofErr w:type="gramEnd"/>
      <w:r w:rsidR="00A8605C" w:rsidRPr="00F70B51">
        <w:rPr>
          <w:rFonts w:eastAsia="標楷體"/>
          <w:sz w:val="24"/>
        </w:rPr>
        <w:t>教育課程</w:t>
      </w:r>
      <w:r w:rsidR="003F23E3" w:rsidRPr="00167D19">
        <w:rPr>
          <w:rFonts w:eastAsia="標楷體"/>
          <w:b/>
          <w:color w:val="EE0000"/>
          <w:sz w:val="24"/>
        </w:rPr>
        <w:t>2</w:t>
      </w:r>
      <w:r w:rsidR="00167D19" w:rsidRPr="00167D19">
        <w:rPr>
          <w:rFonts w:eastAsia="標楷體" w:hint="eastAsia"/>
          <w:b/>
          <w:color w:val="EE0000"/>
          <w:sz w:val="24"/>
        </w:rPr>
        <w:t>6</w:t>
      </w:r>
      <w:r w:rsidR="00A8605C"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)</w:t>
      </w:r>
    </w:p>
    <w:p w14:paraId="2AE972B9" w14:textId="77777777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A77B05" w:rsidRPr="004823BF">
        <w:rPr>
          <w:rFonts w:eastAsia="標楷體" w:hint="eastAsia"/>
          <w:color w:val="EE0000"/>
          <w:sz w:val="24"/>
        </w:rPr>
        <w:t>14</w:t>
      </w:r>
      <w:r w:rsidRPr="00F70B51">
        <w:rPr>
          <w:rFonts w:eastAsia="標楷體"/>
          <w:sz w:val="24"/>
        </w:rPr>
        <w:t>學分</w:t>
      </w:r>
    </w:p>
    <w:p w14:paraId="6CD54955" w14:textId="6CF26A6B" w:rsidR="00872967" w:rsidRP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 w:rsidR="002971FC" w:rsidRPr="00685BDF">
        <w:rPr>
          <w:rFonts w:eastAsia="標楷體" w:hint="eastAsia"/>
          <w:color w:val="EE0000"/>
          <w:sz w:val="24"/>
        </w:rPr>
        <w:t>28</w:t>
      </w:r>
      <w:r w:rsidRPr="00685BDF">
        <w:rPr>
          <w:rFonts w:eastAsia="標楷體"/>
          <w:sz w:val="24"/>
        </w:rPr>
        <w:t>學分</w:t>
      </w:r>
    </w:p>
    <w:p w14:paraId="4D6B381E" w14:textId="76C1327F" w:rsidR="0002379D" w:rsidRPr="00F70B51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60C40BC5" w14:textId="77777777" w:rsidR="004D7307" w:rsidRPr="00F70B51" w:rsidRDefault="004D7307" w:rsidP="004D73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4C3CC2D9" w14:textId="127416C3" w:rsidR="004D7307" w:rsidRPr="00F70B51" w:rsidRDefault="003009DA" w:rsidP="004D7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2554A2A7" w14:textId="337DF345" w:rsidR="00A7292C" w:rsidRDefault="003009DA" w:rsidP="004D730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37147FEE" w14:textId="7F18CF94" w:rsidR="00044CF7" w:rsidRPr="00450CBB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6898" w14:textId="77777777" w:rsidR="00EC0158" w:rsidRDefault="00EC0158">
      <w:r>
        <w:separator/>
      </w:r>
    </w:p>
  </w:endnote>
  <w:endnote w:type="continuationSeparator" w:id="0">
    <w:p w14:paraId="0E738829" w14:textId="77777777" w:rsidR="00EC0158" w:rsidRDefault="00EC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6363" w14:textId="77777777" w:rsidR="00EC0158" w:rsidRDefault="00EC0158">
      <w:r>
        <w:separator/>
      </w:r>
    </w:p>
  </w:footnote>
  <w:footnote w:type="continuationSeparator" w:id="0">
    <w:p w14:paraId="414EE083" w14:textId="77777777" w:rsidR="00EC0158" w:rsidRDefault="00EC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6F60AB37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02A9E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43C60"/>
    <w:rsid w:val="00251780"/>
    <w:rsid w:val="00252A9D"/>
    <w:rsid w:val="00253D5A"/>
    <w:rsid w:val="002610FC"/>
    <w:rsid w:val="00263AFB"/>
    <w:rsid w:val="00266B14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C326B"/>
    <w:rsid w:val="006C451F"/>
    <w:rsid w:val="006C5278"/>
    <w:rsid w:val="006D2E72"/>
    <w:rsid w:val="006E4D3A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825E7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06A6"/>
    <w:rsid w:val="00B71AC0"/>
    <w:rsid w:val="00B74BFB"/>
    <w:rsid w:val="00B84780"/>
    <w:rsid w:val="00B943A1"/>
    <w:rsid w:val="00BD0BF3"/>
    <w:rsid w:val="00BD26C7"/>
    <w:rsid w:val="00BD5072"/>
    <w:rsid w:val="00BD6C88"/>
    <w:rsid w:val="00BE3B17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326B6"/>
    <w:rsid w:val="00D933D4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C0158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26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2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695</Words>
  <Characters>3965</Characters>
  <Application>Microsoft Office Word</Application>
  <DocSecurity>0</DocSecurity>
  <Lines>33</Lines>
  <Paragraphs>9</Paragraphs>
  <ScaleCrop>false</ScaleCrop>
  <Company>淡江大學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15</cp:revision>
  <cp:lastPrinted>2022-08-03T03:43:00Z</cp:lastPrinted>
  <dcterms:created xsi:type="dcterms:W3CDTF">2024-08-29T08:32:00Z</dcterms:created>
  <dcterms:modified xsi:type="dcterms:W3CDTF">2025-08-27T05:14:00Z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